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A4" w:rsidRPr="00766BA4" w:rsidRDefault="00766BA4" w:rsidP="00010039">
      <w:pPr>
        <w:snapToGrid w:val="0"/>
        <w:jc w:val="center"/>
        <w:rPr>
          <w:b/>
          <w:sz w:val="28"/>
          <w:szCs w:val="28"/>
        </w:rPr>
      </w:pPr>
      <w:r w:rsidRPr="00766BA4">
        <w:rPr>
          <w:rFonts w:hint="eastAsia"/>
          <w:b/>
          <w:sz w:val="28"/>
          <w:szCs w:val="28"/>
        </w:rPr>
        <w:t>10</w:t>
      </w:r>
      <w:r w:rsidR="00010039">
        <w:rPr>
          <w:rFonts w:hint="eastAsia"/>
          <w:b/>
          <w:sz w:val="28"/>
          <w:szCs w:val="28"/>
        </w:rPr>
        <w:t>5</w:t>
      </w:r>
      <w:r w:rsidRPr="00766BA4">
        <w:rPr>
          <w:rFonts w:hint="eastAsia"/>
          <w:b/>
          <w:sz w:val="28"/>
          <w:szCs w:val="28"/>
        </w:rPr>
        <w:t>學年度</w:t>
      </w:r>
    </w:p>
    <w:p w:rsidR="00974BBB" w:rsidRPr="00766BA4" w:rsidRDefault="00010039" w:rsidP="00010039">
      <w:pPr>
        <w:snapToGrid w:val="0"/>
        <w:jc w:val="center"/>
        <w:rPr>
          <w:b/>
          <w:sz w:val="28"/>
          <w:szCs w:val="28"/>
        </w:rPr>
      </w:pPr>
      <w:r w:rsidRPr="00010039">
        <w:rPr>
          <w:rFonts w:hint="eastAsia"/>
          <w:b/>
          <w:sz w:val="28"/>
          <w:szCs w:val="28"/>
        </w:rPr>
        <w:t>深化夥伴協作</w:t>
      </w:r>
      <w:r w:rsidRPr="00010039">
        <w:rPr>
          <w:rFonts w:hint="eastAsia"/>
          <w:b/>
          <w:sz w:val="28"/>
          <w:szCs w:val="28"/>
        </w:rPr>
        <w:t xml:space="preserve">  </w:t>
      </w:r>
      <w:proofErr w:type="gramStart"/>
      <w:r w:rsidRPr="00010039">
        <w:rPr>
          <w:rFonts w:hint="eastAsia"/>
          <w:b/>
          <w:sz w:val="28"/>
          <w:szCs w:val="28"/>
        </w:rPr>
        <w:t>實踐培用合一</w:t>
      </w:r>
      <w:proofErr w:type="gramEnd"/>
    </w:p>
    <w:p w:rsidR="00766BA4" w:rsidRDefault="00766BA4" w:rsidP="00010039">
      <w:pPr>
        <w:jc w:val="both"/>
      </w:pPr>
    </w:p>
    <w:p w:rsidR="00766BA4" w:rsidRDefault="00766BA4" w:rsidP="00010039">
      <w:pPr>
        <w:jc w:val="both"/>
      </w:pPr>
      <w:r>
        <w:rPr>
          <w:rFonts w:hint="eastAsia"/>
        </w:rPr>
        <w:t>一、前言</w:t>
      </w:r>
    </w:p>
    <w:p w:rsidR="00D82881" w:rsidRDefault="00766BA4" w:rsidP="00010039">
      <w:pPr>
        <w:jc w:val="both"/>
      </w:pPr>
      <w:r>
        <w:rPr>
          <w:rFonts w:hint="eastAsia"/>
        </w:rPr>
        <w:t xml:space="preserve">   </w:t>
      </w:r>
      <w:r w:rsidR="00010039" w:rsidRPr="00010039">
        <w:rPr>
          <w:rFonts w:hint="eastAsia"/>
        </w:rPr>
        <w:t>十二年國民基本教育之目的在於提升中小學教育品質、成就每一個孩子、厚植國家競爭力。基於因應十二年國教實施後學生學習之需要，教師在課程設計、教材教法、評量方式及適性輔導上必須有所調整，才能實踐有教無類、因材施教，達成</w:t>
      </w:r>
      <w:proofErr w:type="gramStart"/>
      <w:r w:rsidR="00010039" w:rsidRPr="00010039">
        <w:rPr>
          <w:rFonts w:hint="eastAsia"/>
        </w:rPr>
        <w:t>適性揚才</w:t>
      </w:r>
      <w:proofErr w:type="gramEnd"/>
      <w:r w:rsidR="00010039" w:rsidRPr="00010039">
        <w:rPr>
          <w:rFonts w:hint="eastAsia"/>
        </w:rPr>
        <w:t>之目標。因而，激勵教師教學專業與熱情以及突破現行考試思維框架，激發教師透過多元、創意與有效的教學策略及活動，以引導學生自主學習，就成為教育界共同努力的目標。師資培育正是培養未來教師的主要力量，更有必要因應調整培育過程，已強化教師活化課程教學之能力，達成十二年國教之理想。</w:t>
      </w:r>
    </w:p>
    <w:p w:rsidR="00010039" w:rsidRDefault="00010039" w:rsidP="00010039">
      <w:pPr>
        <w:jc w:val="both"/>
      </w:pPr>
      <w:r>
        <w:rPr>
          <w:rFonts w:hint="eastAsia"/>
        </w:rPr>
        <w:t xml:space="preserve">    </w:t>
      </w:r>
      <w:r w:rsidRPr="00010039">
        <w:rPr>
          <w:rFonts w:hint="eastAsia"/>
        </w:rPr>
        <w:t>本計畫係基於師資職前培育的重要性、因應十二年國民基本教育的變革、全球教育革新的趨勢的背景與需求下，呼應教育部精進師資素質計畫的目標展開規劃，期能有效提升師資素質引領教育品質的提升及因應未來。</w:t>
      </w:r>
    </w:p>
    <w:p w:rsidR="00D82881" w:rsidRDefault="00D82881" w:rsidP="00010039">
      <w:pPr>
        <w:jc w:val="both"/>
      </w:pPr>
    </w:p>
    <w:p w:rsidR="00766BA4" w:rsidRDefault="00766BA4" w:rsidP="00010039">
      <w:pPr>
        <w:jc w:val="both"/>
      </w:pPr>
      <w:r>
        <w:rPr>
          <w:rFonts w:hint="eastAsia"/>
        </w:rPr>
        <w:t>二、計畫</w:t>
      </w:r>
      <w:r w:rsidR="00996E7B">
        <w:rPr>
          <w:rFonts w:hint="eastAsia"/>
        </w:rPr>
        <w:t>理念與</w:t>
      </w:r>
      <w:r>
        <w:rPr>
          <w:rFonts w:hint="eastAsia"/>
        </w:rPr>
        <w:t>目標</w:t>
      </w:r>
    </w:p>
    <w:p w:rsidR="00010039" w:rsidRDefault="00766BA4" w:rsidP="00010039">
      <w:pPr>
        <w:jc w:val="both"/>
      </w:pPr>
      <w:r>
        <w:rPr>
          <w:rFonts w:hint="eastAsia"/>
        </w:rPr>
        <w:t xml:space="preserve">    </w:t>
      </w:r>
      <w:r w:rsidR="00010039">
        <w:rPr>
          <w:rFonts w:hint="eastAsia"/>
        </w:rPr>
        <w:t>本計畫主要的前提為精進教師素質，十二年國民基本教育推動在即，師資培育課程授課教師、師資生、實習生、現職教師成為實踐的關鍵者，其培育力、學習力、應變力的提升也顯然列為首要，本計畫理念強調彼此都是學習者，藉由師資培育大學與學校的協作、強調教師教學實務性知識的重要性，以自發學習的思維行動，透過實作、反思達到恢弘教師熱忱、促進有效教學、專業發展與學校革新。</w:t>
      </w:r>
    </w:p>
    <w:p w:rsidR="00010039" w:rsidRDefault="00010039" w:rsidP="00010039">
      <w:pPr>
        <w:jc w:val="both"/>
      </w:pPr>
      <w:r>
        <w:rPr>
          <w:rFonts w:hint="eastAsia"/>
        </w:rPr>
        <w:t>整體而言，希冀藉由</w:t>
      </w:r>
      <w:r>
        <w:rPr>
          <w:rFonts w:hint="eastAsia"/>
        </w:rPr>
        <w:t>11</w:t>
      </w:r>
      <w:r>
        <w:rPr>
          <w:rFonts w:hint="eastAsia"/>
        </w:rPr>
        <w:t>項子計畫之執行，達成以下五項總目標：</w:t>
      </w:r>
    </w:p>
    <w:p w:rsidR="00010039" w:rsidRDefault="00010039" w:rsidP="00010039">
      <w:pPr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深化延續本校前三年精進師資素質計畫成果及實踐推廣；</w:t>
      </w:r>
    </w:p>
    <w:p w:rsidR="00010039" w:rsidRDefault="00010039" w:rsidP="0001003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強化十二年國民基本教育所需師資的理念與課程教學之實踐策略；</w:t>
      </w:r>
    </w:p>
    <w:p w:rsidR="00010039" w:rsidRDefault="00010039" w:rsidP="0001003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促進師資培育課程授課教師整合理論與實務精進教學</w:t>
      </w:r>
      <w:proofErr w:type="gramStart"/>
      <w:r>
        <w:rPr>
          <w:rFonts w:hint="eastAsia"/>
        </w:rPr>
        <w:t>達成培用合一</w:t>
      </w:r>
      <w:proofErr w:type="gramEnd"/>
      <w:r>
        <w:rPr>
          <w:rFonts w:hint="eastAsia"/>
        </w:rPr>
        <w:t>；</w:t>
      </w:r>
    </w:p>
    <w:p w:rsidR="00010039" w:rsidRDefault="00010039" w:rsidP="00010039">
      <w:pPr>
        <w:ind w:left="360" w:hangingChars="150" w:hanging="360"/>
        <w:jc w:val="both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提升師資生補救教學、教學實務、國際教育、全球移動之專業素養及研究知能、自發學習力、實作能力、團隊合作力；</w:t>
      </w:r>
    </w:p>
    <w:p w:rsidR="00766BA4" w:rsidRDefault="00010039" w:rsidP="00010039">
      <w:pPr>
        <w:ind w:left="360" w:hangingChars="150" w:hanging="360"/>
        <w:jc w:val="both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運用夥伴學校協作機制培養教師專業熱忱、深化師資培育歷程、提升教師專業成長、引領中等學校革新。</w:t>
      </w:r>
    </w:p>
    <w:p w:rsidR="00EF6C26" w:rsidRDefault="00EF6C26" w:rsidP="00010039">
      <w:pPr>
        <w:jc w:val="both"/>
      </w:pPr>
    </w:p>
    <w:p w:rsidR="00E83447" w:rsidRDefault="00996E7B" w:rsidP="00010039">
      <w:pPr>
        <w:jc w:val="both"/>
      </w:pPr>
      <w:r>
        <w:rPr>
          <w:rFonts w:hint="eastAsia"/>
        </w:rPr>
        <w:t>三</w:t>
      </w:r>
      <w:r w:rsidR="00766BA4">
        <w:rPr>
          <w:rFonts w:hint="eastAsia"/>
        </w:rPr>
        <w:t>、</w:t>
      </w:r>
      <w:r w:rsidR="00E83447">
        <w:rPr>
          <w:rFonts w:hint="eastAsia"/>
        </w:rPr>
        <w:t>子計畫項目</w:t>
      </w:r>
    </w:p>
    <w:tbl>
      <w:tblPr>
        <w:tblStyle w:val="a7"/>
        <w:tblW w:w="9155" w:type="dxa"/>
        <w:tblInd w:w="122" w:type="dxa"/>
        <w:tblLook w:val="04A0" w:firstRow="1" w:lastRow="0" w:firstColumn="1" w:lastColumn="0" w:noHBand="0" w:noVBand="1"/>
      </w:tblPr>
      <w:tblGrid>
        <w:gridCol w:w="700"/>
        <w:gridCol w:w="1960"/>
        <w:gridCol w:w="1190"/>
        <w:gridCol w:w="5305"/>
      </w:tblGrid>
      <w:tr w:rsidR="00811C01" w:rsidRPr="00010039" w:rsidTr="00811C01">
        <w:trPr>
          <w:tblHeader/>
        </w:trPr>
        <w:tc>
          <w:tcPr>
            <w:tcW w:w="700" w:type="dxa"/>
            <w:vAlign w:val="center"/>
          </w:tcPr>
          <w:p w:rsidR="00811C01" w:rsidRPr="00010039" w:rsidRDefault="00811C01" w:rsidP="00010039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010039">
              <w:rPr>
                <w:rFonts w:asciiTheme="minorEastAsia" w:hAnsiTheme="minorEastAsia" w:hint="eastAsia"/>
                <w:szCs w:val="24"/>
              </w:rPr>
              <w:t>計畫編號</w:t>
            </w:r>
          </w:p>
        </w:tc>
        <w:tc>
          <w:tcPr>
            <w:tcW w:w="1960" w:type="dxa"/>
            <w:vAlign w:val="center"/>
          </w:tcPr>
          <w:p w:rsidR="00811C01" w:rsidRPr="00010039" w:rsidRDefault="00811C01" w:rsidP="0001003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010039">
              <w:rPr>
                <w:rFonts w:asciiTheme="minorEastAsia" w:hAnsiTheme="minorEastAsia" w:hint="eastAsia"/>
                <w:szCs w:val="24"/>
              </w:rPr>
              <w:t>執行單位</w:t>
            </w:r>
          </w:p>
        </w:tc>
        <w:tc>
          <w:tcPr>
            <w:tcW w:w="1190" w:type="dxa"/>
            <w:vAlign w:val="center"/>
          </w:tcPr>
          <w:p w:rsidR="00811C01" w:rsidRPr="00010039" w:rsidRDefault="00811C01" w:rsidP="0001003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010039">
              <w:rPr>
                <w:rFonts w:asciiTheme="minorEastAsia" w:hAnsiTheme="minorEastAsia" w:hint="eastAsia"/>
                <w:szCs w:val="24"/>
              </w:rPr>
              <w:t>主持人</w:t>
            </w:r>
          </w:p>
        </w:tc>
        <w:tc>
          <w:tcPr>
            <w:tcW w:w="5305" w:type="dxa"/>
            <w:vAlign w:val="center"/>
          </w:tcPr>
          <w:p w:rsidR="00811C01" w:rsidRPr="00010039" w:rsidRDefault="00811C01" w:rsidP="00010039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010039">
              <w:rPr>
                <w:rFonts w:asciiTheme="minorEastAsia" w:hAnsiTheme="minorEastAsia" w:hint="eastAsia"/>
                <w:szCs w:val="24"/>
              </w:rPr>
              <w:t>子計畫名稱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1-1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公民教育與活動領導學系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劉秀嫚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提升公民與社會科師資生素養導向的課程發展、有效教學與多元評量實踐知能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1-2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物理學系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陸健榮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shd w:val="clear" w:color="auto" w:fill="FFFFFF"/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開授「教育自造專題研究」師培新課程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1-3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體育學系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闕月清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/>
                <w:kern w:val="0"/>
                <w:szCs w:val="24"/>
              </w:rPr>
              <w:t>林靜萍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/>
                <w:kern w:val="0"/>
                <w:szCs w:val="24"/>
              </w:rPr>
              <w:lastRenderedPageBreak/>
              <w:t>施登堯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proofErr w:type="gramStart"/>
            <w:r w:rsidRPr="00010039">
              <w:rPr>
                <w:rFonts w:asciiTheme="minorEastAsia" w:hAnsiTheme="minorEastAsia" w:cs="Times New Roman"/>
                <w:kern w:val="0"/>
                <w:szCs w:val="24"/>
              </w:rPr>
              <w:t>掌慶維</w:t>
            </w:r>
            <w:proofErr w:type="gramEnd"/>
          </w:p>
        </w:tc>
        <w:tc>
          <w:tcPr>
            <w:tcW w:w="5305" w:type="dxa"/>
          </w:tcPr>
          <w:p w:rsidR="00010039" w:rsidRPr="00010039" w:rsidRDefault="00010039" w:rsidP="00F46F94">
            <w:pPr>
              <w:widowControl/>
              <w:shd w:val="clear" w:color="auto" w:fill="FFFFFF"/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lastRenderedPageBreak/>
              <w:t>體育師資生應用個人與社會責任模式於體育教學專業成長計畫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2-1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spacing w:val="-5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spacing w:val="-5"/>
                <w:kern w:val="0"/>
                <w:szCs w:val="24"/>
              </w:rPr>
              <w:t>科技應用與人力資源發展學系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蕭顯勝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張玉山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widowControl/>
              <w:shd w:val="clear" w:color="auto" w:fill="FFFFFF"/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共學、</w:t>
            </w:r>
            <w:proofErr w:type="gramStart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共備</w:t>
            </w:r>
            <w:proofErr w:type="gramEnd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、與共創--偏鄉</w:t>
            </w:r>
            <w:r w:rsidRPr="00010039"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</w:rPr>
              <w:t>Maker</w:t>
            </w: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教學的實踐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2-2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機電工程學系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鄭慶民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程金保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鄭淳護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結合技術型</w:t>
            </w:r>
            <w:proofErr w:type="gramStart"/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高中群科中心</w:t>
            </w:r>
            <w:proofErr w:type="gramEnd"/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學校精進機械群師資教學知能之夥伴協作計畫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2-3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音樂學系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吳舜文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「學」「教」音樂的翻轉與開放</w:t>
            </w:r>
            <w:r w:rsidRPr="00010039">
              <w:rPr>
                <w:rFonts w:asciiTheme="minorEastAsia" w:hAnsiTheme="minorEastAsia" w:cs="Times New Roman"/>
                <w:kern w:val="0"/>
                <w:szCs w:val="24"/>
              </w:rPr>
              <w:t>-</w:t>
            </w: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中學音樂師資生教學知能及與夥伴學校協作機制計畫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2-4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師資培育與就業輔導處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林子斌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優質教育實習機構遴選認證暨合作計畫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新細明體" w:hint="eastAsia"/>
                <w:kern w:val="0"/>
                <w:szCs w:val="24"/>
              </w:rPr>
              <w:t>3-1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公民教育與活動領導學系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王錦雀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「全球移動力、青年軟實力」－強化師資生國際化知能與發展夥伴協作機制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3-2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數學系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洪有情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陳界山</w:t>
            </w:r>
          </w:p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謝佳</w:t>
            </w:r>
            <w:proofErr w:type="gramStart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叡</w:t>
            </w:r>
            <w:proofErr w:type="gramEnd"/>
          </w:p>
        </w:tc>
        <w:tc>
          <w:tcPr>
            <w:tcW w:w="5305" w:type="dxa"/>
          </w:tcPr>
          <w:p w:rsidR="00010039" w:rsidRPr="00010039" w:rsidRDefault="00010039" w:rsidP="00F46F94">
            <w:pPr>
              <w:widowControl/>
              <w:shd w:val="clear" w:color="auto" w:fill="FFFFFF"/>
              <w:adjustRightInd w:val="0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國中數學補救教學策略研發暨補救教材實地教學與修正計畫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3-3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英語學系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shd w:val="clear" w:color="auto" w:fill="FFFFFF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曾俊傑</w:t>
            </w:r>
          </w:p>
          <w:p w:rsidR="00010039" w:rsidRPr="00010039" w:rsidRDefault="00010039" w:rsidP="00F46F94">
            <w:pPr>
              <w:shd w:val="clear" w:color="auto" w:fill="FFFFFF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</w:rPr>
              <w:t>程玉秀</w:t>
            </w:r>
          </w:p>
          <w:p w:rsidR="00010039" w:rsidRPr="00010039" w:rsidRDefault="00010039" w:rsidP="00F46F94">
            <w:pPr>
              <w:shd w:val="clear" w:color="auto" w:fill="FFFFFF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</w:rPr>
              <w:t>葉錫南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推動師資生參與</w:t>
            </w:r>
            <w:proofErr w:type="gramStart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偏鄉遠距</w:t>
            </w:r>
            <w:proofErr w:type="gramEnd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英語課後輔導計畫</w:t>
            </w:r>
          </w:p>
        </w:tc>
      </w:tr>
      <w:tr w:rsidR="00010039" w:rsidRPr="00010039" w:rsidTr="00F46F94">
        <w:tc>
          <w:tcPr>
            <w:tcW w:w="700" w:type="dxa"/>
          </w:tcPr>
          <w:p w:rsidR="00010039" w:rsidRPr="00010039" w:rsidRDefault="00010039" w:rsidP="00010039">
            <w:pPr>
              <w:ind w:leftChars="-35" w:hangingChars="35" w:hanging="84"/>
              <w:jc w:val="center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</w:rPr>
              <w:t>3-4</w:t>
            </w:r>
          </w:p>
        </w:tc>
        <w:tc>
          <w:tcPr>
            <w:tcW w:w="1960" w:type="dxa"/>
          </w:tcPr>
          <w:p w:rsidR="00010039" w:rsidRPr="00010039" w:rsidRDefault="00010039" w:rsidP="00F46F94">
            <w:pPr>
              <w:ind w:leftChars="-32" w:left="-77" w:rightChars="-34" w:right="-82"/>
              <w:jc w:val="both"/>
              <w:rPr>
                <w:rFonts w:asciiTheme="minorEastAsia" w:hAnsiTheme="minorEastAsia" w:cs="新細明體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教育心理與輔導學系</w:t>
            </w:r>
          </w:p>
        </w:tc>
        <w:tc>
          <w:tcPr>
            <w:tcW w:w="1190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陳慧娟</w:t>
            </w:r>
          </w:p>
        </w:tc>
        <w:tc>
          <w:tcPr>
            <w:tcW w:w="5305" w:type="dxa"/>
          </w:tcPr>
          <w:p w:rsidR="00010039" w:rsidRPr="00010039" w:rsidRDefault="00010039" w:rsidP="00F46F94">
            <w:pPr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00"/>
              </w:rPr>
            </w:pPr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中等學校教師情緒調適歷程、壓力因應策略探究</w:t>
            </w:r>
            <w:proofErr w:type="gramStart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與正念減壓</w:t>
            </w:r>
            <w:proofErr w:type="gramEnd"/>
            <w:r w:rsidRPr="00010039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成效評估</w:t>
            </w:r>
          </w:p>
        </w:tc>
      </w:tr>
    </w:tbl>
    <w:p w:rsidR="00811C01" w:rsidRDefault="00811C01" w:rsidP="00010039">
      <w:pPr>
        <w:jc w:val="both"/>
      </w:pPr>
    </w:p>
    <w:p w:rsidR="00766BA4" w:rsidRPr="00766BA4" w:rsidRDefault="00E83447" w:rsidP="00010039">
      <w:pPr>
        <w:jc w:val="both"/>
      </w:pPr>
      <w:r>
        <w:rPr>
          <w:rFonts w:hint="eastAsia"/>
        </w:rPr>
        <w:t>四、</w:t>
      </w:r>
      <w:r w:rsidR="00766BA4">
        <w:rPr>
          <w:rFonts w:hint="eastAsia"/>
        </w:rPr>
        <w:t>執行成</w:t>
      </w:r>
      <w:r w:rsidR="00EF6C26">
        <w:rPr>
          <w:rFonts w:hint="eastAsia"/>
        </w:rPr>
        <w:t>果</w:t>
      </w:r>
      <w:r w:rsidR="0041410C" w:rsidRPr="0041410C">
        <w:rPr>
          <w:rFonts w:hint="eastAsia"/>
        </w:rPr>
        <w:t>(</w:t>
      </w:r>
      <w:r w:rsidR="0041410C" w:rsidRPr="0041410C">
        <w:rPr>
          <w:rFonts w:hint="eastAsia"/>
        </w:rPr>
        <w:t>如附檔</w:t>
      </w:r>
      <w:r w:rsidR="0041410C" w:rsidRPr="0041410C">
        <w:rPr>
          <w:rFonts w:hint="eastAsia"/>
        </w:rPr>
        <w:t>)</w:t>
      </w:r>
      <w:bookmarkStart w:id="0" w:name="_GoBack"/>
      <w:bookmarkEnd w:id="0"/>
    </w:p>
    <w:sectPr w:rsidR="00766BA4" w:rsidRPr="00766BA4" w:rsidSect="00C7380A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E5" w:rsidRDefault="00B71CE5" w:rsidP="00E83447">
      <w:r>
        <w:separator/>
      </w:r>
    </w:p>
  </w:endnote>
  <w:endnote w:type="continuationSeparator" w:id="0">
    <w:p w:rsidR="00B71CE5" w:rsidRDefault="00B71CE5" w:rsidP="00E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E5" w:rsidRDefault="00B71CE5" w:rsidP="00E83447">
      <w:r>
        <w:separator/>
      </w:r>
    </w:p>
  </w:footnote>
  <w:footnote w:type="continuationSeparator" w:id="0">
    <w:p w:rsidR="00B71CE5" w:rsidRDefault="00B71CE5" w:rsidP="00E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4"/>
    <w:rsid w:val="00010039"/>
    <w:rsid w:val="00164853"/>
    <w:rsid w:val="002C27DB"/>
    <w:rsid w:val="00411699"/>
    <w:rsid w:val="0041410C"/>
    <w:rsid w:val="004D1805"/>
    <w:rsid w:val="00766BA4"/>
    <w:rsid w:val="007B0FC2"/>
    <w:rsid w:val="007C7770"/>
    <w:rsid w:val="007F7E35"/>
    <w:rsid w:val="00811C01"/>
    <w:rsid w:val="00954BB1"/>
    <w:rsid w:val="00974BBB"/>
    <w:rsid w:val="00996E7B"/>
    <w:rsid w:val="00B71CE5"/>
    <w:rsid w:val="00C7380A"/>
    <w:rsid w:val="00D82881"/>
    <w:rsid w:val="00E83447"/>
    <w:rsid w:val="00E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447"/>
    <w:rPr>
      <w:sz w:val="20"/>
      <w:szCs w:val="20"/>
    </w:rPr>
  </w:style>
  <w:style w:type="table" w:styleId="a7">
    <w:name w:val="Table Grid"/>
    <w:basedOn w:val="a1"/>
    <w:uiPriority w:val="59"/>
    <w:rsid w:val="008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01003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447"/>
    <w:rPr>
      <w:sz w:val="20"/>
      <w:szCs w:val="20"/>
    </w:rPr>
  </w:style>
  <w:style w:type="table" w:styleId="a7">
    <w:name w:val="Table Grid"/>
    <w:basedOn w:val="a1"/>
    <w:uiPriority w:val="59"/>
    <w:rsid w:val="008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01003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2017-05-22T07:46:00Z</dcterms:created>
  <dcterms:modified xsi:type="dcterms:W3CDTF">2017-05-22T08:26:00Z</dcterms:modified>
</cp:coreProperties>
</file>